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2419" w14:textId="39E44EB2" w:rsidR="0093468F" w:rsidRDefault="003052A4" w:rsidP="00D47963">
      <w:pPr>
        <w:pStyle w:val="berschrift1"/>
        <w:spacing w:before="0" w:after="120" w:line="276" w:lineRule="auto"/>
        <w:ind w:left="0" w:right="451"/>
      </w:pP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13"/>
        </w:rPr>
        <w:t xml:space="preserve"> </w:t>
      </w:r>
      <w:r>
        <w:rPr>
          <w:color w:val="231F20"/>
        </w:rPr>
        <w:t>TT7,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rechteckig,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Einreibeverschlüssen</w:t>
      </w:r>
    </w:p>
    <w:p w14:paraId="7DE6C1AC" w14:textId="77777777" w:rsidR="0093468F" w:rsidRDefault="003052A4" w:rsidP="00D47963">
      <w:pPr>
        <w:spacing w:after="120" w:line="276" w:lineRule="auto"/>
        <w:ind w:right="451"/>
        <w:rPr>
          <w:b/>
          <w:color w:val="231F20"/>
          <w:spacing w:val="-2"/>
          <w:sz w:val="18"/>
        </w:rPr>
      </w:pPr>
      <w:r>
        <w:rPr>
          <w:b/>
          <w:color w:val="231F20"/>
          <w:sz w:val="18"/>
        </w:rPr>
        <w:t>Behälterzugangstür</w:t>
      </w:r>
      <w:r>
        <w:rPr>
          <w:b/>
          <w:color w:val="231F20"/>
          <w:spacing w:val="-13"/>
          <w:sz w:val="18"/>
        </w:rPr>
        <w:t xml:space="preserve"> </w:t>
      </w:r>
      <w:r>
        <w:rPr>
          <w:b/>
          <w:color w:val="231F20"/>
          <w:sz w:val="18"/>
        </w:rPr>
        <w:t>speziell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für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die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Trinkwasserversorgung,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druckbeständig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bis</w:t>
      </w:r>
      <w:r>
        <w:rPr>
          <w:b/>
          <w:color w:val="231F20"/>
          <w:spacing w:val="-11"/>
          <w:sz w:val="18"/>
        </w:rPr>
        <w:t xml:space="preserve"> </w:t>
      </w:r>
      <w:r>
        <w:rPr>
          <w:b/>
          <w:color w:val="231F20"/>
          <w:sz w:val="18"/>
        </w:rPr>
        <w:t>10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z w:val="18"/>
        </w:rPr>
        <w:t>m</w:t>
      </w:r>
      <w:r>
        <w:rPr>
          <w:b/>
          <w:color w:val="231F20"/>
          <w:spacing w:val="-10"/>
          <w:sz w:val="18"/>
        </w:rPr>
        <w:t xml:space="preserve"> </w:t>
      </w:r>
      <w:r>
        <w:rPr>
          <w:b/>
          <w:color w:val="231F20"/>
          <w:spacing w:val="-2"/>
          <w:sz w:val="18"/>
        </w:rPr>
        <w:t>Wassersäule.</w:t>
      </w:r>
    </w:p>
    <w:p w14:paraId="0D67BE01" w14:textId="77777777" w:rsidR="00D47963" w:rsidRDefault="00D47963" w:rsidP="00D47963">
      <w:pPr>
        <w:pStyle w:val="Textkrper"/>
        <w:spacing w:after="120" w:line="276" w:lineRule="auto"/>
        <w:ind w:right="451"/>
        <w:rPr>
          <w:b/>
          <w:color w:val="231F20"/>
        </w:rPr>
      </w:pPr>
    </w:p>
    <w:p w14:paraId="65941A57" w14:textId="6D9BCF2C" w:rsidR="0093468F" w:rsidRDefault="003052A4" w:rsidP="00D47963">
      <w:pPr>
        <w:pStyle w:val="Textkrper"/>
        <w:spacing w:after="120" w:line="276" w:lineRule="auto"/>
        <w:ind w:right="451"/>
      </w:pPr>
      <w:proofErr w:type="spellStart"/>
      <w:r>
        <w:rPr>
          <w:b/>
          <w:color w:val="231F20"/>
        </w:rPr>
        <w:t>Drucktür</w:t>
      </w:r>
      <w:proofErr w:type="spellEnd"/>
      <w:r>
        <w:rPr>
          <w:b/>
          <w:color w:val="231F20"/>
        </w:rPr>
        <w:t xml:space="preserve">, </w:t>
      </w:r>
      <w:r>
        <w:rPr>
          <w:color w:val="231F20"/>
        </w:rPr>
        <w:t>druckbeständig bis 10 m Wassersäule, zur Druckseite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öffnend,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einbaufertig,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beidseitig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überschalbar (Wandstärke ≥ 280 mm), rechteckig, aus Edelstahl, Werkstoff-Nr. 1.4404 (AISI 316 L), statisch geprüft.</w:t>
      </w:r>
    </w:p>
    <w:p w14:paraId="7DC355AA" w14:textId="77777777" w:rsidR="0093468F" w:rsidRDefault="003052A4" w:rsidP="00D47963">
      <w:pPr>
        <w:pStyle w:val="Textkrper"/>
        <w:spacing w:after="120" w:line="276" w:lineRule="auto"/>
        <w:ind w:right="876"/>
      </w:pPr>
      <w:r>
        <w:rPr>
          <w:b/>
          <w:color w:val="231F20"/>
          <w:spacing w:val="-2"/>
        </w:rPr>
        <w:t>Türblatt,</w:t>
      </w:r>
      <w:r>
        <w:rPr>
          <w:b/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Blechstärke: 5 mm, Versteifungen aus U-förmig </w:t>
      </w:r>
      <w:r>
        <w:rPr>
          <w:color w:val="231F20"/>
        </w:rPr>
        <w:t>gekantetem Blech. Druckseitig glattes Türblatt. Mit umlaufend eingeklebter, trinkwassergeeigneter und ozonbeständiger Vierkantsilikondichtung mit KTW- und DVGW W 270 Zulassung. Die Verriegelung erfolgt über Einreibeverschlüsse, die sowohl von der Türaußenseite und aus Sicherheitsgründen auch bei entleertem Behälter, von der Druckseite aus zu bedienen sind. Das Türblatt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über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stabile,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wartungsfreie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Scharniere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 Zarge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verbunden.</w:t>
      </w:r>
    </w:p>
    <w:p w14:paraId="49BA67B3" w14:textId="77777777" w:rsidR="0093468F" w:rsidRDefault="003052A4" w:rsidP="00D47963">
      <w:pPr>
        <w:pStyle w:val="Textkrper"/>
        <w:spacing w:after="120" w:line="276" w:lineRule="auto"/>
        <w:ind w:right="1018"/>
      </w:pPr>
      <w:r>
        <w:rPr>
          <w:b/>
          <w:color w:val="231F20"/>
        </w:rPr>
        <w:t xml:space="preserve">Zarge, </w:t>
      </w:r>
      <w:r>
        <w:rPr>
          <w:color w:val="231F20"/>
        </w:rPr>
        <w:t>vierseitig umlaufend, mit beidseitigem sowie mittigem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Dichtflansch,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Einbetonieren. An der Zarge sind Transportösen angebracht.</w:t>
      </w:r>
    </w:p>
    <w:p w14:paraId="41469342" w14:textId="77777777" w:rsidR="00D47963" w:rsidRDefault="003052A4" w:rsidP="00D47963">
      <w:pPr>
        <w:pStyle w:val="Textkrper"/>
        <w:spacing w:after="120" w:line="276" w:lineRule="auto"/>
        <w:ind w:right="451"/>
      </w:pPr>
      <w:r>
        <w:rPr>
          <w:color w:val="231F20"/>
        </w:rPr>
        <w:t>Zarge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Türblatt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Schutzgas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geschweißt,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 Tauchbad gebeizt und passiviert.</w:t>
      </w:r>
    </w:p>
    <w:p w14:paraId="349CC74F" w14:textId="1A32C743" w:rsidR="0093468F" w:rsidRDefault="003052A4" w:rsidP="00D47963">
      <w:pPr>
        <w:pStyle w:val="Textkrper"/>
        <w:spacing w:after="120" w:line="276" w:lineRule="auto"/>
        <w:ind w:right="451"/>
        <w:rPr>
          <w:b/>
        </w:rPr>
      </w:pPr>
      <w:r>
        <w:rPr>
          <w:b/>
          <w:color w:val="231F20"/>
          <w:spacing w:val="-4"/>
          <w:u w:val="single" w:color="231F20"/>
        </w:rPr>
        <w:t>Hinweis:</w:t>
      </w:r>
      <w:r>
        <w:rPr>
          <w:b/>
          <w:color w:val="231F20"/>
          <w:spacing w:val="-4"/>
        </w:rPr>
        <w:t xml:space="preserve"> Gewährleistung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für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die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Dichtigkeit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  <w:spacing w:val="-4"/>
        </w:rPr>
        <w:t>zwischen Zarge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und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Beton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wird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nur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bei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>umlaufend</w:t>
      </w:r>
      <w:r>
        <w:rPr>
          <w:b/>
          <w:color w:val="231F20"/>
          <w:spacing w:val="-12"/>
        </w:rPr>
        <w:t xml:space="preserve"> </w:t>
      </w:r>
      <w:r>
        <w:rPr>
          <w:b/>
          <w:color w:val="231F20"/>
          <w:spacing w:val="-4"/>
        </w:rPr>
        <w:t xml:space="preserve">homogenem </w:t>
      </w:r>
      <w:r>
        <w:rPr>
          <w:b/>
          <w:color w:val="231F20"/>
        </w:rPr>
        <w:t>Betongefüge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übernommen.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Die</w:t>
      </w:r>
      <w:r>
        <w:rPr>
          <w:b/>
          <w:color w:val="231F20"/>
          <w:spacing w:val="-11"/>
        </w:rPr>
        <w:t xml:space="preserve"> </w:t>
      </w:r>
      <w:r>
        <w:rPr>
          <w:b/>
          <w:color w:val="231F20"/>
        </w:rPr>
        <w:t>Mindestbetongüte und</w:t>
      </w:r>
      <w:r>
        <w:rPr>
          <w:b/>
          <w:color w:val="231F20"/>
          <w:spacing w:val="-15"/>
        </w:rPr>
        <w:t xml:space="preserve"> </w:t>
      </w:r>
      <w:r>
        <w:rPr>
          <w:b/>
          <w:color w:val="231F20"/>
        </w:rPr>
        <w:t>entsprechende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Betonklassen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sind</w:t>
      </w:r>
      <w:r>
        <w:rPr>
          <w:b/>
          <w:color w:val="231F20"/>
          <w:spacing w:val="-14"/>
        </w:rPr>
        <w:t xml:space="preserve"> </w:t>
      </w:r>
      <w:r>
        <w:rPr>
          <w:b/>
          <w:color w:val="231F20"/>
        </w:rPr>
        <w:t>kundenseitig festzulegen.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Bei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der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Zarge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zum</w:t>
      </w:r>
      <w:r>
        <w:rPr>
          <w:b/>
          <w:color w:val="231F20"/>
          <w:spacing w:val="-10"/>
        </w:rPr>
        <w:t xml:space="preserve"> </w:t>
      </w:r>
      <w:r>
        <w:rPr>
          <w:b/>
          <w:color w:val="231F20"/>
        </w:rPr>
        <w:t>nachträglichen Anbau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sind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die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Herstellervorgaben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für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das Befestigungsmaterial zu beachten.</w:t>
      </w:r>
    </w:p>
    <w:p w14:paraId="7D96DEC3" w14:textId="77777777" w:rsidR="0093468F" w:rsidRDefault="0093468F" w:rsidP="00D47963">
      <w:pPr>
        <w:pStyle w:val="Textkrper"/>
        <w:spacing w:after="120" w:line="276" w:lineRule="auto"/>
        <w:ind w:right="451"/>
        <w:rPr>
          <w:b/>
          <w:sz w:val="17"/>
        </w:rPr>
      </w:pPr>
    </w:p>
    <w:p w14:paraId="1FECE078" w14:textId="77777777" w:rsidR="0093468F" w:rsidRDefault="003052A4" w:rsidP="00D47963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</w:rPr>
        <w:t>Ausführungsvarianten:</w:t>
      </w:r>
    </w:p>
    <w:p w14:paraId="5D6C185C" w14:textId="77777777" w:rsidR="0093468F" w:rsidRDefault="003052A4" w:rsidP="00D47963">
      <w:pPr>
        <w:spacing w:after="120" w:line="276" w:lineRule="auto"/>
        <w:ind w:right="451"/>
        <w:rPr>
          <w:b/>
          <w:sz w:val="18"/>
        </w:rPr>
      </w:pPr>
      <w:r>
        <w:rPr>
          <w:b/>
          <w:color w:val="231F20"/>
          <w:spacing w:val="-2"/>
          <w:sz w:val="18"/>
        </w:rPr>
        <w:t>Anschlagart:</w:t>
      </w:r>
    </w:p>
    <w:p w14:paraId="16EF672D" w14:textId="77777777" w:rsidR="0093468F" w:rsidRDefault="003052A4" w:rsidP="00D47963">
      <w:pPr>
        <w:pStyle w:val="Textkrper"/>
        <w:spacing w:after="120" w:line="276" w:lineRule="auto"/>
        <w:ind w:right="451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links</w:t>
      </w:r>
    </w:p>
    <w:p w14:paraId="3A533F0B" w14:textId="77777777" w:rsidR="00D47963" w:rsidRDefault="003052A4" w:rsidP="00D47963">
      <w:pPr>
        <w:pStyle w:val="Textkrper"/>
        <w:spacing w:after="120" w:line="276" w:lineRule="auto"/>
        <w:ind w:right="451"/>
        <w:rPr>
          <w:color w:val="231F20"/>
          <w:spacing w:val="-2"/>
        </w:rPr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DIN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rechts</w:t>
      </w:r>
    </w:p>
    <w:p w14:paraId="59B44BB2" w14:textId="77777777" w:rsidR="00D47963" w:rsidRDefault="00D47963" w:rsidP="00D47963">
      <w:pPr>
        <w:pStyle w:val="Textkrper"/>
        <w:spacing w:after="120" w:line="276" w:lineRule="auto"/>
        <w:ind w:right="451"/>
        <w:rPr>
          <w:color w:val="231F20"/>
          <w:spacing w:val="-2"/>
        </w:rPr>
      </w:pPr>
    </w:p>
    <w:p w14:paraId="71DC7018" w14:textId="26A66D1A" w:rsidR="0093468F" w:rsidRPr="00D47963" w:rsidRDefault="003052A4" w:rsidP="00D47963">
      <w:pPr>
        <w:pStyle w:val="Textkrper"/>
        <w:spacing w:after="120" w:line="276" w:lineRule="auto"/>
        <w:ind w:right="451"/>
      </w:pPr>
      <w:r>
        <w:rPr>
          <w:b/>
          <w:color w:val="231F20"/>
          <w:spacing w:val="-2"/>
        </w:rPr>
        <w:t>Optional:</w:t>
      </w:r>
    </w:p>
    <w:p w14:paraId="30C52C26" w14:textId="35159FFF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Zarge zum nachträglichen Anbau, Platzbedarf für den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Rahmen: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150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mm,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4-seitig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umlaufend.</w:t>
      </w:r>
      <w:r>
        <w:rPr>
          <w:color w:val="231F20"/>
          <w:spacing w:val="-11"/>
        </w:rPr>
        <w:t xml:space="preserve"> </w:t>
      </w:r>
      <w:r w:rsidR="00D47963">
        <w:rPr>
          <w:color w:val="231F20"/>
          <w:spacing w:val="-11"/>
        </w:rPr>
        <w:br/>
      </w:r>
      <w:r>
        <w:rPr>
          <w:color w:val="231F20"/>
        </w:rPr>
        <w:t>Bei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dieser Ausführung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muss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Wandinnenseite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</w:rPr>
        <w:t>planeben</w:t>
      </w:r>
      <w:proofErr w:type="spellEnd"/>
      <w:r>
        <w:rPr>
          <w:color w:val="231F20"/>
          <w:spacing w:val="-10"/>
        </w:rPr>
        <w:t xml:space="preserve"> </w:t>
      </w:r>
      <w:r>
        <w:rPr>
          <w:color w:val="231F20"/>
        </w:rPr>
        <w:t>sein, Ebenheitstoleranz: ± 1 mm pro Meter.</w:t>
      </w:r>
    </w:p>
    <w:p w14:paraId="173B8925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5"/>
        </w:rPr>
        <w:t xml:space="preserve"> </w:t>
      </w: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7"/>
        </w:rPr>
        <w:t xml:space="preserve"> </w:t>
      </w:r>
      <w:r>
        <w:rPr>
          <w:color w:val="231F20"/>
        </w:rPr>
        <w:t>für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runde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Behälter</w:t>
      </w:r>
    </w:p>
    <w:p w14:paraId="62091406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mittig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eingebaute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Schauluke,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Sichtdurchmesser: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150 mm, mit und ohne Scheibenwischer</w:t>
      </w:r>
    </w:p>
    <w:p w14:paraId="1152243E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66"/>
        </w:rPr>
        <w:t xml:space="preserve"> </w:t>
      </w:r>
      <w:r>
        <w:rPr>
          <w:color w:val="231F20"/>
        </w:rPr>
        <w:t>eingebauter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LED-</w:t>
      </w:r>
      <w:r>
        <w:rPr>
          <w:color w:val="231F20"/>
          <w:spacing w:val="-2"/>
        </w:rPr>
        <w:t>Unterwasserscheinwerfer</w:t>
      </w:r>
    </w:p>
    <w:p w14:paraId="17450DE2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eingebautes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Zylinderschloss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(einseitig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bedienbar)</w:t>
      </w:r>
    </w:p>
    <w:p w14:paraId="4F3242C9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Verriegelung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mittels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Schraubverschlüssen</w:t>
      </w:r>
    </w:p>
    <w:p w14:paraId="5638EEE3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4"/>
        </w:rPr>
        <w:t xml:space="preserve"> </w:t>
      </w: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dreiseitigem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Rahmen,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oben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offen,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als Brüstungstür, max. Wassersäule = Türblatthöhe</w:t>
      </w:r>
    </w:p>
    <w:p w14:paraId="61315A72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Besandung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betonberührten</w:t>
      </w:r>
      <w:r>
        <w:rPr>
          <w:color w:val="231F20"/>
          <w:spacing w:val="-10"/>
        </w:rPr>
        <w:t xml:space="preserve"> </w:t>
      </w:r>
      <w:proofErr w:type="spellStart"/>
      <w:r>
        <w:rPr>
          <w:color w:val="231F20"/>
          <w:spacing w:val="-2"/>
        </w:rPr>
        <w:t>Zargenteile</w:t>
      </w:r>
      <w:proofErr w:type="spellEnd"/>
    </w:p>
    <w:p w14:paraId="3D67BB67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proofErr w:type="spellStart"/>
      <w:r>
        <w:rPr>
          <w:color w:val="231F20"/>
        </w:rPr>
        <w:t>Kondenswasserablauf</w:t>
      </w:r>
      <w:proofErr w:type="spellEnd"/>
      <w:r>
        <w:rPr>
          <w:color w:val="231F20"/>
          <w:spacing w:val="-11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Türaußenseite</w:t>
      </w:r>
    </w:p>
    <w:p w14:paraId="4F8D3F26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Türfeststeller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2"/>
        </w:rPr>
        <w:t>Auflaufkeil</w:t>
      </w:r>
    </w:p>
    <w:p w14:paraId="78BC81BF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Probeentnahmehahn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Türaußenseite</w:t>
      </w:r>
    </w:p>
    <w:p w14:paraId="72CA80A2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Teilüberstaute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Ausführung,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unteren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Bereich druckdicht,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oberen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Bereich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 xml:space="preserve">integrierter </w:t>
      </w:r>
      <w:r>
        <w:rPr>
          <w:color w:val="231F20"/>
          <w:spacing w:val="-2"/>
        </w:rPr>
        <w:t>Inspektionsöffnung</w:t>
      </w:r>
    </w:p>
    <w:p w14:paraId="5DB5B79E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47"/>
        </w:rPr>
        <w:t xml:space="preserve"> </w:t>
      </w:r>
      <w:r>
        <w:rPr>
          <w:color w:val="231F20"/>
        </w:rPr>
        <w:t>Vorgerichtet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zum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Anschweißen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PE-</w:t>
      </w:r>
      <w:r>
        <w:rPr>
          <w:color w:val="231F20"/>
          <w:spacing w:val="-2"/>
        </w:rPr>
        <w:t>Auskleidung</w:t>
      </w:r>
    </w:p>
    <w:p w14:paraId="1F52107A" w14:textId="77777777" w:rsidR="0093468F" w:rsidRDefault="003052A4" w:rsidP="00D47963">
      <w:pPr>
        <w:pStyle w:val="Textkrper"/>
        <w:spacing w:after="120" w:line="276" w:lineRule="auto"/>
        <w:ind w:left="284" w:right="451" w:hanging="284"/>
      </w:pPr>
      <w:r>
        <w:rPr>
          <w:color w:val="231F20"/>
        </w:rPr>
        <w:t>➤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Potentialausgleich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am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Rahmen</w:t>
      </w:r>
    </w:p>
    <w:p w14:paraId="65E18A92" w14:textId="2D9D45FF" w:rsidR="0093468F" w:rsidRDefault="003052A4" w:rsidP="00D47963">
      <w:pPr>
        <w:pStyle w:val="Textkrper"/>
        <w:spacing w:after="120" w:line="276" w:lineRule="auto"/>
        <w:ind w:left="284" w:right="451" w:hanging="284"/>
        <w:rPr>
          <w:sz w:val="20"/>
        </w:rPr>
      </w:pPr>
      <w:r>
        <w:rPr>
          <w:color w:val="231F20"/>
        </w:rPr>
        <w:t>➤</w:t>
      </w:r>
      <w:r>
        <w:rPr>
          <w:color w:val="231F20"/>
          <w:spacing w:val="35"/>
        </w:rPr>
        <w:t xml:space="preserve"> </w:t>
      </w:r>
      <w:r>
        <w:rPr>
          <w:color w:val="231F20"/>
        </w:rPr>
        <w:t>Vollständig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aus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Werkstoff-Nr.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1.4307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(AISI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304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5"/>
        </w:rPr>
        <w:t>L)</w:t>
      </w:r>
    </w:p>
    <w:p w14:paraId="2CBDE0A8" w14:textId="77777777" w:rsidR="00D47963" w:rsidRDefault="00D47963">
      <w:pPr>
        <w:pStyle w:val="Textkrper"/>
        <w:spacing w:after="120" w:line="276" w:lineRule="auto"/>
        <w:ind w:right="451"/>
        <w:rPr>
          <w:sz w:val="20"/>
        </w:rPr>
      </w:pPr>
    </w:p>
    <w:sectPr w:rsidR="00D47963" w:rsidSect="00D47963">
      <w:footerReference w:type="default" r:id="rId6"/>
      <w:type w:val="continuous"/>
      <w:pgSz w:w="11910" w:h="16840"/>
      <w:pgMar w:top="1214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FD3D3" w14:textId="77777777" w:rsidR="00F90CD4" w:rsidRDefault="00F90CD4">
      <w:r>
        <w:separator/>
      </w:r>
    </w:p>
  </w:endnote>
  <w:endnote w:type="continuationSeparator" w:id="0">
    <w:p w14:paraId="0079A26C" w14:textId="77777777" w:rsidR="00F90CD4" w:rsidRDefault="00F9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D78EB" w14:textId="27E53AD8" w:rsidR="0093468F" w:rsidRDefault="0093468F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C39D8" w14:textId="77777777" w:rsidR="00F90CD4" w:rsidRDefault="00F90CD4">
      <w:r>
        <w:separator/>
      </w:r>
    </w:p>
  </w:footnote>
  <w:footnote w:type="continuationSeparator" w:id="0">
    <w:p w14:paraId="44C5C4F3" w14:textId="77777777" w:rsidR="00F90CD4" w:rsidRDefault="00F90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468F"/>
    <w:rsid w:val="003052A4"/>
    <w:rsid w:val="0093468F"/>
    <w:rsid w:val="00D47963"/>
    <w:rsid w:val="00D76DAB"/>
    <w:rsid w:val="00F9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0DFCE6"/>
  <w15:docId w15:val="{F8621AAF-BA65-3D45-96AD-800C771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2"/>
    </w:pPr>
  </w:style>
  <w:style w:type="paragraph" w:styleId="Kopfzeile">
    <w:name w:val="header"/>
    <w:basedOn w:val="Standard"/>
    <w:link w:val="KopfzeileZchn"/>
    <w:uiPriority w:val="99"/>
    <w:unhideWhenUsed/>
    <w:rsid w:val="00D479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47963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D479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47963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8be8af21222dab26caa0f43064256c5d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0a623b9bd38febd1796fce6f5d9de0d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TT7</TermName>
          <TermId xmlns="http://schemas.microsoft.com/office/infopath/2007/PartnerControls">ba5229ad-48cf-4fa9-88ae-c7fee56768e2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17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2675281C-E121-48AD-9664-08AF8674556F}"/>
</file>

<file path=customXml/itemProps2.xml><?xml version="1.0" encoding="utf-8"?>
<ds:datastoreItem xmlns:ds="http://schemas.openxmlformats.org/officeDocument/2006/customXml" ds:itemID="{D0AF9865-1B03-4C63-9AA9-AE1850891C65}"/>
</file>

<file path=customXml/itemProps3.xml><?xml version="1.0" encoding="utf-8"?>
<ds:datastoreItem xmlns:ds="http://schemas.openxmlformats.org/officeDocument/2006/customXml" ds:itemID="{C3D536EE-EAC0-49D1-A055-39C2D4A12A60}"/>
</file>

<file path=customXml/itemProps4.xml><?xml version="1.0" encoding="utf-8"?>
<ds:datastoreItem xmlns:ds="http://schemas.openxmlformats.org/officeDocument/2006/customXml" ds:itemID="{D8D8B0B0-50A2-4D81-A14A-0D2D6D61A8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TT7</dc:title>
  <cp:lastModifiedBy>Bayerschmidt, Bianca</cp:lastModifiedBy>
  <cp:revision>4</cp:revision>
  <dcterms:created xsi:type="dcterms:W3CDTF">2023-05-17T05:23:00Z</dcterms:created>
  <dcterms:modified xsi:type="dcterms:W3CDTF">2023-10-20T06:35:00Z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17;#TT7|ba5229ad-48cf-4fa9-88ae-c7fee56768e2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